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Quick links:</w:t>
      </w:r>
    </w:p>
    <w:p w:rsidR="00000000" w:rsidDel="00000000" w:rsidP="00000000" w:rsidRDefault="00000000" w:rsidRPr="00000000" w14:paraId="00000002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pageBreakBefore w:val="0"/>
            <w:spacing w:before="8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dx0dcawqg8i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Reading &amp; writing content competencies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pageBreakBefore w:val="0"/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uwuzb96c0xlq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Critical thinking &amp; analysis content competencies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pageBreakBefore w:val="0"/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uqnju5rqdcmp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Metacognition - process competencies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pageBreakBefore w:val="0"/>
            <w:spacing w:after="80" w:before="200" w:line="240" w:lineRule="auto"/>
            <w:ind w:left="0" w:firstLine="0"/>
            <w:rPr>
              <w:color w:val="1155cc"/>
              <w:u w:val="single"/>
            </w:rPr>
          </w:pPr>
          <w:hyperlink w:anchor="_xfw86wkh9s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Essential skills - process competencies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7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gridCol w:w="3600"/>
        <w:tblGridChange w:id="0">
          <w:tblGrid>
            <w:gridCol w:w="3600"/>
            <w:gridCol w:w="3600"/>
            <w:gridCol w:w="3600"/>
            <w:gridCol w:w="36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1"/>
              <w:pageBreakBefore w:val="0"/>
              <w:rPr/>
            </w:pPr>
            <w:bookmarkStart w:colFirst="0" w:colLast="0" w:name="_dx0dcawqg8i" w:id="0"/>
            <w:bookmarkEnd w:id="0"/>
            <w:r w:rsidDel="00000000" w:rsidR="00000000" w:rsidRPr="00000000">
              <w:rPr>
                <w:rtl w:val="0"/>
              </w:rPr>
              <w:t xml:space="preserve">Reading &amp; writing content competencies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(1) Students can consider reading and writing tasks and adapt their approaches and strategies.</w:t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Students can apply and adjust active reading strategies to texts of similar rigor and structure as those they would likely encounter in a college or career setting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Employ appropriate pre-reading and active reading strategies to aid in comprehension and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interpretation.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Recognize and use text characteristics (titles, headings, subtitles, illustrations, graphs, charts,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visuals, glossaries, chapter summaries, bolded and italicized text, etc.) to preview a text to make meaning.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c. Use a text’s structural characteristics (topic sentences and transitional words and phrases,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introductions, conclusions, patterns of organization, etc.) to make meaning.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Students can summarize a text.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Identify the topic of the text and the author’s intent.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Accurately explain the main ideas of a text in their own words.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Students can expand passive (recognition) and active (expressive) academic and career-related vocabularies.</w:t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Determine meaning through context clues.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Determine meaning using dictionary skills.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c. Determine meaning using knowledge of word parts.</w:t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d. Determine meaning of words and phrases, including figurative, technical, and connotative</w:t>
            </w:r>
          </w:p>
          <w:p w:rsidR="00000000" w:rsidDel="00000000" w:rsidP="00000000" w:rsidRDefault="00000000" w:rsidRPr="00000000" w14:paraId="0000003D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meaning.</w:t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e. Recognize the difference between vocabulary that is appropriate in academic settings and vocabulary that is appropriate in career-related settings.</w:t>
            </w:r>
          </w:p>
          <w:p w:rsidR="00000000" w:rsidDel="00000000" w:rsidP="00000000" w:rsidRDefault="00000000" w:rsidRPr="00000000" w14:paraId="00000043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f. Incorporate academic vocabulary in their writing.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gridCol w:w="3600"/>
        <w:tblGridChange w:id="0">
          <w:tblGrid>
            <w:gridCol w:w="3600"/>
            <w:gridCol w:w="3600"/>
            <w:gridCol w:w="3600"/>
            <w:gridCol w:w="36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(1) Students can consider reading and writing tasks and adapt their approaches and strategies.</w:t>
            </w:r>
          </w:p>
        </w:tc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Students can identify the audience, purpose, and context of any given writing task.</w:t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Make choices about content based on audience and purpose.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Make choices about organization based on audience and purpose.</w:t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c. Make choices about development based on audience and purpose.</w:t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d. Make choices about style and tone based on audience and purpose.</w:t>
            </w:r>
          </w:p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Students can choose writing processes based on audience, purpose, and task.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Choose brainstorming and drafting strategies appropriate for the audience, purpose, and task.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Use reflection and feedback from peers and teacher to revise and strengthen writing.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c. Use editing and proofreading strategies to improve writing and conventions.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d. Submit the final product in an appropriate format based on task, audience, and purpose.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(2) Students can analyze, evaluate, and synthesize while reading and writing.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Students can demonstrate how to incorporate and document relevant information from a variety of reliable print, digital, and other media.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Choose sources based on task, audience, and purpose.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Use sources to provide evidence to support a central idea or opinion.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c. Incorporate sources by using signal phrases, quoting, paraphrasing, and summarizing.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d. Identify content that needs to be cited, including summarized and paraphrased ideas.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e. Develop Works Cited lists.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Students can analyze and interpret texts.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Identify explicit and implicit ideas, main ideas, and supporting details.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Determine the author’s purpose, point of view, and tone, as well as the mood of a given text.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c. Draw logical conclusions using evidence from a given text.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d. Evaluate arguments by analyzing the use of rhetorical strategies and by identifying logical structures, including fallacies and/or errors in logical reasoning.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e. Logically extend ideas related to a given text by employing at least one of the following connections: text-to-text, text-to-self, or text-to-world.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f. Interpret figurative language (e.g., simile, metaphor, euphemism, hyperbole, etc.) and understand their role in the text.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Style w:val="Heading1"/>
              <w:pageBreakBefore w:val="0"/>
              <w:jc w:val="center"/>
              <w:rPr/>
            </w:pPr>
            <w:bookmarkStart w:colFirst="0" w:colLast="0" w:name="_uwuzb96c0xlq" w:id="1"/>
            <w:bookmarkEnd w:id="1"/>
            <w:r w:rsidDel="00000000" w:rsidR="00000000" w:rsidRPr="00000000">
              <w:rPr>
                <w:rtl w:val="0"/>
              </w:rPr>
              <w:t xml:space="preserve">Critical thinking &amp; analysis content competencies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(2) Students can analyze, evaluate, and synthesize while reading and writing (continued).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Students can understand the credibility and reliability of evidence in texts while reading.</w:t>
            </w:r>
          </w:p>
          <w:p w:rsidR="00000000" w:rsidDel="00000000" w:rsidP="00000000" w:rsidRDefault="00000000" w:rsidRPr="00000000" w14:paraId="000000A1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Evaluate the effectiveness of an author’s use of structure in exposition or argument, including the ways in which the structure may make points clear, convincing, and engaging.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Determine (discuss) an author’s point of view or purpose in a text in which the rhetoric is</w:t>
            </w:r>
          </w:p>
          <w:p w:rsidR="00000000" w:rsidDel="00000000" w:rsidP="00000000" w:rsidRDefault="00000000" w:rsidRPr="00000000" w14:paraId="000000AA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particularly effective, analyzing how style and content contribute to the power, persuasiveness, or beauty of the text.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c. Assess the strengths and limitations of a source in terms of the task, purpose, and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d. Evaluate the author’s use of evidence, reasoning, and/or stylistic and persuasive elements, and/or feature(s) of the source.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e. Evaluate differences in sources across modes and media.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f. Evaluate how claims are supported with evidence and the effectiveness of those claims.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g. Develop interpersonal and intertextual connections.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Students can engage with evidence while writing.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Write to reflect on the stylistic decisions made by other authors.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Engage with evidence to expand and support their own ideas, arguments, and perspectives to convey their messages with impact and beauty appropriate to a given audience and purpose.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c. Write to support claims for analysis or to examine and convey complex ideas, concepts,</w:t>
            </w:r>
          </w:p>
          <w:p w:rsidR="00000000" w:rsidDel="00000000" w:rsidP="00000000" w:rsidRDefault="00000000" w:rsidRPr="00000000" w14:paraId="000000CB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and information in substantive topics or texts, using valid reasoning and relevant and sufficient</w:t>
            </w:r>
          </w:p>
          <w:p w:rsidR="00000000" w:rsidDel="00000000" w:rsidP="00000000" w:rsidRDefault="00000000" w:rsidRPr="00000000" w14:paraId="000000CC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evidence.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d. Demonstrate an ability to evaluate source texts for the author’s purpose, angle, and coverage</w:t>
            </w:r>
          </w:p>
          <w:p w:rsidR="00000000" w:rsidDel="00000000" w:rsidP="00000000" w:rsidRDefault="00000000" w:rsidRPr="00000000" w14:paraId="000000D1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including where the text leaves matters uncertain.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e. Apply diverse sources that present authoritative, trustworthy, credible, and reliable information to support their own analysis and claim.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f. Demonstrate an understanding of the reasons behind citation practices to avoid plagiarism and overreliance on any one source.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g. Cite strong and thorough textual evidence to support analysis of what the text says explicitly as well as inferences drawn from the text.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h. Integrate information into the text selectively to maintain the flow of ideas.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(3) Students can demonstrate information literacy skills.</w:t>
            </w:r>
          </w:p>
        </w:tc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 a contributing writer...</w:t>
            </w:r>
          </w:p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Evaluate role as a contributing writer in information community.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Evaluate and integrate multiple sources of information presented in different media or</w:t>
            </w:r>
          </w:p>
          <w:p w:rsidR="00000000" w:rsidDel="00000000" w:rsidP="00000000" w:rsidRDefault="00000000" w:rsidRPr="00000000" w14:paraId="000000EB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formats, as well as in words, in order to address a question or solve a problem.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 an engaged reader...</w:t>
            </w:r>
          </w:p>
          <w:p w:rsidR="00000000" w:rsidDel="00000000" w:rsidP="00000000" w:rsidRDefault="00000000" w:rsidRPr="00000000" w14:paraId="000000EF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Evaluate role as a reader in information community.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Understand what makes sources authoritative and relevant to a given topic.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3180"/>
        <w:gridCol w:w="3240"/>
        <w:gridCol w:w="3300"/>
        <w:tblGridChange w:id="0">
          <w:tblGrid>
            <w:gridCol w:w="4680"/>
            <w:gridCol w:w="3180"/>
            <w:gridCol w:w="3240"/>
            <w:gridCol w:w="330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Style w:val="Heading1"/>
              <w:pageBreakBefore w:val="0"/>
              <w:rPr>
                <w:highlight w:val="yellow"/>
              </w:rPr>
            </w:pPr>
            <w:bookmarkStart w:colFirst="0" w:colLast="0" w:name="_uqnju5rqdcmp" w:id="2"/>
            <w:bookmarkEnd w:id="2"/>
            <w:r w:rsidDel="00000000" w:rsidR="00000000" w:rsidRPr="00000000">
              <w:rPr>
                <w:rtl w:val="0"/>
              </w:rPr>
              <w:t xml:space="preserve">Metacognition - process competencies </w:t>
            </w:r>
            <w:r w:rsidDel="00000000" w:rsidR="00000000" w:rsidRPr="00000000">
              <w:rPr>
                <w:highlight w:val="yellow"/>
                <w:rtl w:val="0"/>
              </w:rPr>
              <w:t xml:space="preserve">(does not have to be directly assessed)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METACOGNITION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Planning and Monitoring</w:t>
            </w:r>
          </w:p>
          <w:p w:rsidR="00000000" w:rsidDel="00000000" w:rsidP="00000000" w:rsidRDefault="00000000" w:rsidRPr="00000000" w14:paraId="000000FF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Students can construct and monitor an adaptive plan</w:t>
            </w:r>
          </w:p>
          <w:p w:rsidR="00000000" w:rsidDel="00000000" w:rsidP="00000000" w:rsidRDefault="00000000" w:rsidRPr="00000000" w14:paraId="00000101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of action to structure their learning process using</w:t>
            </w:r>
          </w:p>
          <w:p w:rsidR="00000000" w:rsidDel="00000000" w:rsidP="00000000" w:rsidRDefault="00000000" w:rsidRPr="00000000" w14:paraId="00000102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reading, writing, or critical thinking skills.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Identify and address break-downs in reading</w:t>
            </w:r>
          </w:p>
          <w:p w:rsidR="00000000" w:rsidDel="00000000" w:rsidP="00000000" w:rsidRDefault="00000000" w:rsidRPr="00000000" w14:paraId="00000104">
            <w:pPr>
              <w:pageBreakBefore w:val="0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comprehension.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Assess and address effectiveness of writing</w:t>
            </w:r>
          </w:p>
          <w:p w:rsidR="00000000" w:rsidDel="00000000" w:rsidP="00000000" w:rsidRDefault="00000000" w:rsidRPr="00000000" w14:paraId="00000109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strategies to communicate a claim.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c. Set goals for on-going learning with appropriate</w:t>
            </w:r>
          </w:p>
          <w:p w:rsidR="00000000" w:rsidDel="00000000" w:rsidP="00000000" w:rsidRDefault="00000000" w:rsidRPr="00000000" w14:paraId="0000010E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revisions in response to progress.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d. Develop and assess learning process.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e. Ask questions to identify issues of comprehension</w:t>
            </w:r>
          </w:p>
          <w:p w:rsidR="00000000" w:rsidDel="00000000" w:rsidP="00000000" w:rsidRDefault="00000000" w:rsidRPr="00000000" w14:paraId="00000117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and complexity.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f. Persist through complex literacy tasks.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g. Engage challenging ideas, methods, and texts in order to develop literacy skills.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Self-Reflection</w:t>
            </w:r>
          </w:p>
          <w:p w:rsidR="00000000" w:rsidDel="00000000" w:rsidP="00000000" w:rsidRDefault="00000000" w:rsidRPr="00000000" w14:paraId="00000123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ageBreakBefore w:val="0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Students can reflect upon collected and original thoughts in order to strengthen their reading, writing, and critical thinking processes.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Understand the impact of biases and assumptions</w:t>
            </w:r>
          </w:p>
          <w:p w:rsidR="00000000" w:rsidDel="00000000" w:rsidP="00000000" w:rsidRDefault="00000000" w:rsidRPr="00000000" w14:paraId="00000126">
            <w:pPr>
              <w:pageBreakBefore w:val="0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on various groups and on themselves.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Monitor biases and assumptions while working</w:t>
            </w:r>
          </w:p>
          <w:p w:rsidR="00000000" w:rsidDel="00000000" w:rsidP="00000000" w:rsidRDefault="00000000" w:rsidRPr="00000000" w14:paraId="0000012B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through literacy tasks.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c. Make connections between self and the task.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d. Seek help from appropriate resources.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e. Articulate and assess methods of self-reflection.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f. Adjust position, perspective, or plan as needed.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g. Reflect on how understanding has changed.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Transfer</w:t>
            </w:r>
          </w:p>
          <w:p w:rsidR="00000000" w:rsidDel="00000000" w:rsidP="00000000" w:rsidRDefault="00000000" w:rsidRPr="00000000" w14:paraId="00000143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Students can transfer reading, writing, and critical thinking processes purposefully to authentic contexts beyond the English language arts classroom.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Make connections between self and world.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Make intertextual connections.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c. Create new meaning and original ideas from learned content.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d. Apply background knowledge to new learning</w:t>
            </w:r>
          </w:p>
          <w:p w:rsidR="00000000" w:rsidDel="00000000" w:rsidP="00000000" w:rsidRDefault="00000000" w:rsidRPr="00000000" w14:paraId="00000153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contexts.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e. Recognize and apply complementary learning</w:t>
            </w:r>
          </w:p>
          <w:p w:rsidR="00000000" w:rsidDel="00000000" w:rsidP="00000000" w:rsidRDefault="00000000" w:rsidRPr="00000000" w14:paraId="00000158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processes among reading, writing, critical thinking.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f. Identify appropriate literacy strategies for given task.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spacing w:after="0" w:before="0" w:line="240" w:lineRule="auto"/>
              <w:ind w:left="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g. Apply cross-disciplinary learning processes to new</w:t>
            </w:r>
          </w:p>
          <w:p w:rsidR="00000000" w:rsidDel="00000000" w:rsidP="00000000" w:rsidRDefault="00000000" w:rsidRPr="00000000" w14:paraId="00000161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learning contexts.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gridCol w:w="3600"/>
        <w:tblGridChange w:id="0">
          <w:tblGrid>
            <w:gridCol w:w="3600"/>
            <w:gridCol w:w="3600"/>
            <w:gridCol w:w="3600"/>
            <w:gridCol w:w="36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Style w:val="Heading1"/>
              <w:pageBreakBefore w:val="0"/>
              <w:rPr/>
            </w:pPr>
            <w:bookmarkStart w:colFirst="0" w:colLast="0" w:name="_xfw86wkh9s7" w:id="3"/>
            <w:bookmarkEnd w:id="3"/>
            <w:r w:rsidDel="00000000" w:rsidR="00000000" w:rsidRPr="00000000">
              <w:rPr>
                <w:rtl w:val="0"/>
              </w:rPr>
              <w:t xml:space="preserve">Essential skills - process competencies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Personal Ethic</w:t>
            </w:r>
          </w:p>
          <w:p w:rsidR="00000000" w:rsidDel="00000000" w:rsidP="00000000" w:rsidRDefault="00000000" w:rsidRPr="00000000" w14:paraId="00000169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Cultural Competence</w:t>
            </w:r>
          </w:p>
          <w:p w:rsidR="00000000" w:rsidDel="00000000" w:rsidP="00000000" w:rsidRDefault="00000000" w:rsidRPr="00000000" w14:paraId="0000016B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Know others as individual people and build relationships regardless of personal</w:t>
            </w:r>
          </w:p>
          <w:p w:rsidR="00000000" w:rsidDel="00000000" w:rsidP="00000000" w:rsidRDefault="00000000" w:rsidRPr="00000000" w14:paraId="0000016E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similarities or differences.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Recognize and respect the inherent value of all cultures and be open to other</w:t>
            </w:r>
          </w:p>
          <w:p w:rsidR="00000000" w:rsidDel="00000000" w:rsidP="00000000" w:rsidRDefault="00000000" w:rsidRPr="00000000" w14:paraId="00000173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cultures besides their own.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.275999999999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Persistence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Overcome obstacles to achieve their goals/accomplish their tasks.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Take responsibility for their own success by seeking assistance and guidance.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Technology Use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Stay on-task and use appropriate technological tools for appropriate purposes.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Work Ethic</w:t>
            </w:r>
          </w:p>
          <w:p w:rsidR="00000000" w:rsidDel="00000000" w:rsidP="00000000" w:rsidRDefault="00000000" w:rsidRPr="00000000" w14:paraId="00000184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Time Management</w:t>
            </w:r>
          </w:p>
          <w:p w:rsidR="00000000" w:rsidDel="00000000" w:rsidP="00000000" w:rsidRDefault="00000000" w:rsidRPr="00000000" w14:paraId="00000186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Prioritize tasks and establish realistic deadlines that allow time for the work to be completed with feedback and revision.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Respect others’ time by being on-time and having work completed when due.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Dependability</w:t>
            </w:r>
          </w:p>
          <w:p w:rsidR="00000000" w:rsidDel="00000000" w:rsidP="00000000" w:rsidRDefault="00000000" w:rsidRPr="00000000" w14:paraId="00000190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Be present and engaged when expected or promised.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Complete one’s “fair share” of work based on the team’s expectations.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Teamwork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Flexibility</w:t>
            </w:r>
          </w:p>
          <w:p w:rsidR="00000000" w:rsidDel="00000000" w:rsidP="00000000" w:rsidRDefault="00000000" w:rsidRPr="00000000" w14:paraId="0000019C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Be open-minded to others’ ideas and feedback as well as different processes and</w:t>
            </w:r>
          </w:p>
          <w:p w:rsidR="00000000" w:rsidDel="00000000" w:rsidP="00000000" w:rsidRDefault="00000000" w:rsidRPr="00000000" w14:paraId="0000019F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products.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Understanding Perspectives</w:t>
            </w:r>
          </w:p>
          <w:p w:rsidR="00000000" w:rsidDel="00000000" w:rsidP="00000000" w:rsidRDefault="00000000" w:rsidRPr="00000000" w14:paraId="000001A3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Understand that others will have different experiences and ideas.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Identify others’ perspectives through written text and in face-to-face work.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Conflict Resolution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Engage with others in ways that focus on the content and are respectful in tone.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Seek to achieve compromise that is acceptable to everyone involved.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c. Ask for support in mediating conflict when necessary.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Technology Use</w:t>
            </w:r>
          </w:p>
          <w:p w:rsidR="00000000" w:rsidDel="00000000" w:rsidP="00000000" w:rsidRDefault="00000000" w:rsidRPr="00000000" w14:paraId="000001BA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Use correct technology (e.g., email and face-to-face) to share a particular message</w:t>
            </w:r>
          </w:p>
          <w:p w:rsidR="00000000" w:rsidDel="00000000" w:rsidP="00000000" w:rsidRDefault="00000000" w:rsidRPr="00000000" w14:paraId="000001BD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for a specific audience and purpose.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Speaking and Listening</w:t>
            </w:r>
          </w:p>
          <w:p w:rsidR="00000000" w:rsidDel="00000000" w:rsidP="00000000" w:rsidRDefault="00000000" w:rsidRPr="00000000" w14:paraId="000001C1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a. Eliminate distractions to focus on the speaker.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b. Provide appropriate non-verbal feedback cues and body language to acknowledge</w:t>
            </w:r>
          </w:p>
          <w:p w:rsidR="00000000" w:rsidDel="00000000" w:rsidP="00000000" w:rsidRDefault="00000000" w:rsidRPr="00000000" w14:paraId="000001C9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what the speaker is saying.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c. Convey ideas and express information in a manner appropriate for the audience,</w:t>
            </w:r>
          </w:p>
          <w:p w:rsidR="00000000" w:rsidDel="00000000" w:rsidP="00000000" w:rsidRDefault="00000000" w:rsidRPr="00000000" w14:paraId="000001CE">
            <w:pPr>
              <w:pageBreakBefore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purpose, and task.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jc w:val="center"/>
    </w:pPr>
    <w:rPr>
      <w:rFonts w:ascii="Nunito" w:cs="Nunito" w:eastAsia="Nunito" w:hAnsi="Nunito"/>
      <w:sz w:val="34"/>
      <w:szCs w:val="3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